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59" w:type="dxa"/>
        <w:tblInd w:w="0" w:type="dxa"/>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4"/>
        <w:gridCol w:w="924"/>
        <w:gridCol w:w="606"/>
        <w:gridCol w:w="667"/>
        <w:gridCol w:w="621"/>
        <w:gridCol w:w="1045"/>
        <w:gridCol w:w="2151"/>
        <w:gridCol w:w="2681"/>
      </w:tblGrid>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970" w:type="dxa"/>
            <w:gridSpan w:val="8"/>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内蒙古工业大学2020年度“绿色通道”人才引进岗位需求表</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0" w:type="dxa"/>
            <w:vMerge w:val="restart"/>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序号</w:t>
            </w:r>
          </w:p>
        </w:tc>
        <w:tc>
          <w:tcPr>
            <w:tcW w:w="915" w:type="dxa"/>
            <w:vMerge w:val="restart"/>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用人</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单位</w:t>
            </w:r>
          </w:p>
        </w:tc>
        <w:tc>
          <w:tcPr>
            <w:tcW w:w="600" w:type="dxa"/>
            <w:vMerge w:val="restart"/>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岗位</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类别</w:t>
            </w:r>
          </w:p>
        </w:tc>
        <w:tc>
          <w:tcPr>
            <w:tcW w:w="660" w:type="dxa"/>
            <w:vMerge w:val="restart"/>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招聘人数</w:t>
            </w:r>
          </w:p>
        </w:tc>
        <w:tc>
          <w:tcPr>
            <w:tcW w:w="6435" w:type="dxa"/>
            <w:gridSpan w:val="4"/>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岗位设置条件</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0" w:type="dxa"/>
            <w:vMerge w:val="continue"/>
            <w:tcBorders>
              <w:top w:val="nil"/>
              <w:left w:val="nil"/>
              <w:bottom w:val="single" w:color="DEDEDE" w:sz="6" w:space="0"/>
              <w:right w:val="single" w:color="DEDEDE" w:sz="6" w:space="0"/>
            </w:tcBorders>
            <w:shd w:val="clear" w:color="auto" w:fill="FFFFFF"/>
            <w:vAlign w:val="center"/>
          </w:tcPr>
          <w:p>
            <w:pPr>
              <w:jc w:val="center"/>
              <w:rPr>
                <w:rFonts w:hint="eastAsia" w:ascii="微软雅黑" w:hAnsi="微软雅黑" w:eastAsia="微软雅黑" w:cs="微软雅黑"/>
                <w:b w:val="0"/>
                <w:i w:val="0"/>
                <w:caps w:val="0"/>
                <w:color w:val="333333"/>
                <w:spacing w:val="0"/>
                <w:sz w:val="24"/>
                <w:szCs w:val="24"/>
              </w:rPr>
            </w:pPr>
          </w:p>
        </w:tc>
        <w:tc>
          <w:tcPr>
            <w:tcW w:w="915" w:type="dxa"/>
            <w:vMerge w:val="continue"/>
            <w:tcBorders>
              <w:top w:val="nil"/>
              <w:left w:val="nil"/>
              <w:bottom w:val="single" w:color="DEDEDE" w:sz="6" w:space="0"/>
              <w:right w:val="single" w:color="DEDEDE" w:sz="6" w:space="0"/>
            </w:tcBorders>
            <w:shd w:val="clear" w:color="auto" w:fill="FFFFFF"/>
            <w:vAlign w:val="center"/>
          </w:tcPr>
          <w:p>
            <w:pPr>
              <w:jc w:val="center"/>
              <w:rPr>
                <w:rFonts w:hint="eastAsia" w:ascii="微软雅黑" w:hAnsi="微软雅黑" w:eastAsia="微软雅黑" w:cs="微软雅黑"/>
                <w:b w:val="0"/>
                <w:i w:val="0"/>
                <w:caps w:val="0"/>
                <w:color w:val="333333"/>
                <w:spacing w:val="0"/>
                <w:sz w:val="24"/>
                <w:szCs w:val="24"/>
              </w:rPr>
            </w:pPr>
          </w:p>
        </w:tc>
        <w:tc>
          <w:tcPr>
            <w:tcW w:w="600" w:type="dxa"/>
            <w:vMerge w:val="continue"/>
            <w:tcBorders>
              <w:top w:val="nil"/>
              <w:left w:val="nil"/>
              <w:bottom w:val="single" w:color="DEDEDE" w:sz="6" w:space="0"/>
              <w:right w:val="single" w:color="DEDEDE" w:sz="6" w:space="0"/>
            </w:tcBorders>
            <w:shd w:val="clear" w:color="auto" w:fill="FFFFFF"/>
            <w:vAlign w:val="center"/>
          </w:tcPr>
          <w:p>
            <w:pPr>
              <w:jc w:val="center"/>
              <w:rPr>
                <w:rFonts w:hint="eastAsia" w:ascii="微软雅黑" w:hAnsi="微软雅黑" w:eastAsia="微软雅黑" w:cs="微软雅黑"/>
                <w:b w:val="0"/>
                <w:i w:val="0"/>
                <w:caps w:val="0"/>
                <w:color w:val="333333"/>
                <w:spacing w:val="0"/>
                <w:sz w:val="24"/>
                <w:szCs w:val="24"/>
              </w:rPr>
            </w:pPr>
          </w:p>
        </w:tc>
        <w:tc>
          <w:tcPr>
            <w:tcW w:w="660" w:type="dxa"/>
            <w:vMerge w:val="continue"/>
            <w:tcBorders>
              <w:top w:val="nil"/>
              <w:left w:val="nil"/>
              <w:bottom w:val="single" w:color="DEDEDE" w:sz="6" w:space="0"/>
              <w:right w:val="single" w:color="DEDEDE" w:sz="6" w:space="0"/>
            </w:tcBorders>
            <w:shd w:val="clear" w:color="auto" w:fill="FFFFFF"/>
            <w:vAlign w:val="center"/>
          </w:tcPr>
          <w:p>
            <w:pPr>
              <w:jc w:val="center"/>
              <w:rPr>
                <w:rFonts w:hint="eastAsia" w:ascii="微软雅黑" w:hAnsi="微软雅黑" w:eastAsia="微软雅黑" w:cs="微软雅黑"/>
                <w:b w:val="0"/>
                <w:i w:val="0"/>
                <w:caps w:val="0"/>
                <w:color w:val="333333"/>
                <w:spacing w:val="0"/>
                <w:sz w:val="24"/>
                <w:szCs w:val="24"/>
              </w:rPr>
            </w:pP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学历</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所需专业类别或学科</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其他条件</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教学部门</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100</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博士研究生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博士</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理学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经济学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管理学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哲学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法学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文学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历史学</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机械工程学院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工学、管理学、艺术学硕士学位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机械工程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机器人工程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仪器科学与技术</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工业工程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设计学</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3</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电力学院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电气工程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控制科学与工程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信息与通信工程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计算机科学与技术  </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4</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理学院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工学、理学硕士学位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数学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力学</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5</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马克思主义学院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哲学、经济学、法学、历史学硕士学位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哲学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理论经济学（政治经济学方向）</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法学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政治学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民族学（马克思主义民族理论与政策方向）</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马克思主义理论</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中国史</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6</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建筑学院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城乡规划学 </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风景园林学</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1.要求本硕毕业院校需通过教育部学位与研究生教育发展中心第四轮学科评估，本科为B及以上、硕士为B+及以上或国际知名大学毕业的硕士（非国外课程硕士、非师范类院校）。</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2、城乡规划学要求本科阶段为建筑学、城乡规划专业，研究生阶段须为城乡规划专业，专业型和学术型均可。风景园林硕士要求本科阶段为建筑学、城乡规划、风景园林专业，研究生阶段须为风景园林学专业。</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7</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人文学院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法学硕士学位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法学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社会学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社会工作</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民族学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企业管理（人力资源管理方向）</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要求30岁以下（1990年1月1日以后出生），蒙汉兼通者优先</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8</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轻工与纺织学院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纺织工程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纺织材料与纺织品设计</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纺织化学与染整工程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服装设计与工程</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9</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国际教育学院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文学硕士学位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对外汉语</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教育学            </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师范类毕业生优先</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有海外留学经历者优先</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10</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体育部</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体育教育训练学</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运动训练</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排球或足球专项，本科所学专业须为体育类专业</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具有国家二级运动员等资质及以上者优先</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11</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航空学院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6</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航空宇航科学与技术</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交通运输工程</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航空宇航科学与技术专业毕业院校须为北航、西工大、南航等航空特色院校或其他双一流院校航空类专业，从事飞行器设计、制造、推进、控制和气动等专业的教学和研究工作，本科毕业院校须为211工程及以上院校；</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bookmarkStart w:id="0" w:name="_GoBack"/>
            <w:bookmarkEnd w:id="0"/>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交通运输工程专业毕业院校须为中国民航大学、北航、南航、西工大等具有航空专业优势和特色院校或其他双一流航空类专业毕业，本科阶段，所学专业与本次专业要求相关。</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12</w:t>
            </w:r>
          </w:p>
        </w:tc>
        <w:tc>
          <w:tcPr>
            <w:tcW w:w="9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数据学院</w:t>
            </w:r>
          </w:p>
        </w:tc>
        <w:tc>
          <w:tcPr>
            <w:tcW w:w="60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教师</w:t>
            </w:r>
          </w:p>
        </w:tc>
        <w:tc>
          <w:tcPr>
            <w:tcW w:w="66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2</w:t>
            </w:r>
          </w:p>
        </w:tc>
        <w:tc>
          <w:tcPr>
            <w:tcW w:w="61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工学、理学硕士学位</w:t>
            </w:r>
          </w:p>
        </w:tc>
        <w:tc>
          <w:tcPr>
            <w:tcW w:w="2130"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计算机科学与技术</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软件工程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网络空间安全</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统计学</w:t>
            </w:r>
          </w:p>
        </w:tc>
        <w:tc>
          <w:tcPr>
            <w:tcW w:w="2655" w:type="dxa"/>
            <w:tcBorders>
              <w:top w:val="nil"/>
              <w:left w:val="nil"/>
              <w:bottom w:val="single" w:color="DEDEDE" w:sz="6" w:space="0"/>
              <w:right w:val="single" w:color="DEDEDE" w:sz="6" w:space="0"/>
            </w:tcBorders>
            <w:shd w:val="clear" w:color="auto" w:fill="FFFFFF"/>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　</w:t>
            </w:r>
          </w:p>
        </w:tc>
      </w:tr>
      <w:tr>
        <w:tblPrEx>
          <w:tblBorders>
            <w:top w:val="single" w:color="269400" w:sz="12" w:space="0"/>
            <w:left w:val="single" w:color="DEDEDE"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13</w:t>
            </w:r>
          </w:p>
        </w:tc>
        <w:tc>
          <w:tcPr>
            <w:tcW w:w="915"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矿业学院</w:t>
            </w:r>
          </w:p>
        </w:tc>
        <w:tc>
          <w:tcPr>
            <w:tcW w:w="600"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实验教师</w:t>
            </w:r>
          </w:p>
        </w:tc>
        <w:tc>
          <w:tcPr>
            <w:tcW w:w="660"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1</w:t>
            </w:r>
          </w:p>
        </w:tc>
        <w:tc>
          <w:tcPr>
            <w:tcW w:w="615"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硕士研究生</w:t>
            </w:r>
          </w:p>
        </w:tc>
        <w:tc>
          <w:tcPr>
            <w:tcW w:w="1035"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工学硕士学位</w:t>
            </w:r>
          </w:p>
        </w:tc>
        <w:tc>
          <w:tcPr>
            <w:tcW w:w="2130"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矿物加工工程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地质工程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资源勘查工程</w:t>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勘查技术与工程</w:t>
            </w:r>
          </w:p>
        </w:tc>
        <w:tc>
          <w:tcPr>
            <w:tcW w:w="2655" w:type="dxa"/>
            <w:tcBorders>
              <w:top w:val="nil"/>
              <w:left w:val="nil"/>
              <w:bottom w:val="single" w:color="DEDEDE" w:sz="6" w:space="0"/>
              <w:right w:val="single" w:color="DEDEDE" w:sz="6" w:space="0"/>
            </w:tcBorders>
            <w:shd w:val="clear" w:color="auto" w:fill="F5F5F5"/>
            <w:vAlign w:val="center"/>
          </w:tcPr>
          <w:p>
            <w:pPr>
              <w:keepNext w:val="0"/>
              <w:keepLines w:val="0"/>
              <w:widowControl/>
              <w:suppressLineNumbers w:val="0"/>
              <w:spacing w:before="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lang w:val="en-US" w:eastAsia="zh-CN" w:bidi="ar"/>
              </w:rPr>
              <w:t>本硕专业一致或相近。矿物加工工程专业，熟悉本专业常用仪器使用与保养，熟悉选矿厂生产实际；地质工程专业或资源勘查工程、勘查技术与工程；熟悉本专业常用仪器使用，特别是各类显微镜的使用与保养，熟悉地质工程现场技术，具有相关工作经验优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80E60"/>
    <w:rsid w:val="1F88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2020-05-04T08:23:00Z</dcterms:created>
  <dc:creator>夏</dc:creator>
  <cp:lastModifiedBy>夏</cp:lastModifiedBy>
  <dcterms:modified xsi:type="dcterms:W3CDTF">2020-05-04T08:24:40Z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